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62E9" w14:textId="77777777" w:rsidR="00FE067E" w:rsidRDefault="003C6034" w:rsidP="00CC1F3B">
      <w:pPr>
        <w:pStyle w:val="TitlePageOrigin"/>
      </w:pPr>
      <w:r>
        <w:rPr>
          <w:caps w:val="0"/>
        </w:rPr>
        <w:t>WEST VIRGINIA LEGISLATURE</w:t>
      </w:r>
    </w:p>
    <w:p w14:paraId="26A478A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EB4BF96" w14:textId="77777777" w:rsidR="00CD36CF" w:rsidRDefault="007A6321" w:rsidP="00CC1F3B">
      <w:pPr>
        <w:pStyle w:val="TitlePageBillPrefix"/>
      </w:pPr>
      <w:sdt>
        <w:sdtPr>
          <w:tag w:val="IntroDate"/>
          <w:id w:val="-1236936958"/>
          <w:placeholder>
            <w:docPart w:val="9E3180337568495BAF02596117F4D05E"/>
          </w:placeholder>
          <w:text/>
        </w:sdtPr>
        <w:sdtEndPr/>
        <w:sdtContent>
          <w:r w:rsidR="00AE48A0">
            <w:t>Introduced</w:t>
          </w:r>
        </w:sdtContent>
      </w:sdt>
    </w:p>
    <w:p w14:paraId="4726A413" w14:textId="388BD7FB" w:rsidR="00CD36CF" w:rsidRDefault="007A6321" w:rsidP="00CC1F3B">
      <w:pPr>
        <w:pStyle w:val="BillNumber"/>
      </w:pPr>
      <w:sdt>
        <w:sdtPr>
          <w:tag w:val="Chamber"/>
          <w:id w:val="893011969"/>
          <w:lock w:val="sdtLocked"/>
          <w:placeholder>
            <w:docPart w:val="D6D07951ABBF4880A4FBF21E9C8FDF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F3516471CCC4B469BB3E2721222FED3"/>
          </w:placeholder>
          <w:text/>
        </w:sdtPr>
        <w:sdtEndPr/>
        <w:sdtContent>
          <w:r w:rsidR="00316D92">
            <w:t>3276</w:t>
          </w:r>
        </w:sdtContent>
      </w:sdt>
    </w:p>
    <w:p w14:paraId="30714ACA" w14:textId="0DD97773" w:rsidR="00CD36CF" w:rsidRDefault="00CD36CF" w:rsidP="00CC1F3B">
      <w:pPr>
        <w:pStyle w:val="Sponsors"/>
      </w:pPr>
      <w:r>
        <w:t xml:space="preserve">By </w:t>
      </w:r>
      <w:sdt>
        <w:sdtPr>
          <w:tag w:val="Sponsors"/>
          <w:id w:val="1589585889"/>
          <w:placeholder>
            <w:docPart w:val="56411FDBD5414A499C0A6CBF467928AC"/>
          </w:placeholder>
          <w:text w:multiLine="1"/>
        </w:sdtPr>
        <w:sdtEndPr/>
        <w:sdtContent>
          <w:r w:rsidR="00EE5FE8">
            <w:t>Delegate</w:t>
          </w:r>
          <w:r w:rsidR="00FD7EB7">
            <w:t>s</w:t>
          </w:r>
          <w:r w:rsidR="00EE5FE8">
            <w:t xml:space="preserve"> Hott</w:t>
          </w:r>
          <w:r w:rsidR="00FD7EB7">
            <w:t>, Martin, Foggin</w:t>
          </w:r>
          <w:r w:rsidR="007A6321">
            <w:t>, and Kyle</w:t>
          </w:r>
        </w:sdtContent>
      </w:sdt>
    </w:p>
    <w:p w14:paraId="054EF1B7" w14:textId="049CB87D" w:rsidR="00E831B3" w:rsidRDefault="00CD36CF" w:rsidP="00CC1F3B">
      <w:pPr>
        <w:pStyle w:val="References"/>
      </w:pPr>
      <w:r>
        <w:t>[</w:t>
      </w:r>
      <w:sdt>
        <w:sdtPr>
          <w:tag w:val="References"/>
          <w:id w:val="-1043047873"/>
          <w:placeholder>
            <w:docPart w:val="061A4495C6974FA18837AFF5BC8FAC7E"/>
          </w:placeholder>
          <w:text w:multiLine="1"/>
        </w:sdtPr>
        <w:sdtEndPr/>
        <w:sdtContent>
          <w:r w:rsidR="00316D92">
            <w:t>Introduced March 10, 2025; referred to the Committee on Energy and Public Works</w:t>
          </w:r>
        </w:sdtContent>
      </w:sdt>
      <w:r>
        <w:t>]</w:t>
      </w:r>
    </w:p>
    <w:p w14:paraId="409BB426" w14:textId="12D57EAC" w:rsidR="00303684" w:rsidRDefault="0000526A" w:rsidP="00CC1F3B">
      <w:pPr>
        <w:pStyle w:val="TitleSection"/>
      </w:pPr>
      <w:r>
        <w:lastRenderedPageBreak/>
        <w:t>A BILL</w:t>
      </w:r>
      <w:r w:rsidR="005F73E2">
        <w:t xml:space="preserve"> to amend and reenact §24-1-1 </w:t>
      </w:r>
      <w:r w:rsidR="005F73E2" w:rsidRPr="00A872B8">
        <w:t xml:space="preserve">of the Code of West Virginia, 1931, as amended, relating to </w:t>
      </w:r>
      <w:r w:rsidR="005F73E2">
        <w:t>setting a relevant time period and process for rate increases for water and sewerage utilities.</w:t>
      </w:r>
    </w:p>
    <w:p w14:paraId="305AF843" w14:textId="77777777" w:rsidR="00303684" w:rsidRDefault="00303684" w:rsidP="00CC1F3B">
      <w:pPr>
        <w:pStyle w:val="EnactingClause"/>
      </w:pPr>
      <w:r>
        <w:t>Be it enacted by the Legislature of West Virginia:</w:t>
      </w:r>
    </w:p>
    <w:p w14:paraId="2CF2EFBE" w14:textId="77777777" w:rsidR="003C6034" w:rsidRDefault="003C6034" w:rsidP="00CC1F3B">
      <w:pPr>
        <w:pStyle w:val="EnactingClause"/>
        <w:sectPr w:rsidR="003C6034" w:rsidSect="005F73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570B68" w14:textId="77777777" w:rsidR="00887C6E" w:rsidRDefault="00887C6E" w:rsidP="00EE5FE8">
      <w:pPr>
        <w:pStyle w:val="ArticleHeading"/>
        <w:sectPr w:rsidR="00887C6E" w:rsidSect="005F73E2">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2A26254C" w14:textId="77777777" w:rsidR="00887C6E" w:rsidRDefault="00887C6E" w:rsidP="00642D7E">
      <w:pPr>
        <w:pStyle w:val="SectionHeading"/>
        <w:sectPr w:rsidR="00887C6E" w:rsidSect="005F73E2">
          <w:type w:val="continuous"/>
          <w:pgSz w:w="12240" w:h="15840" w:code="1"/>
          <w:pgMar w:top="1440" w:right="1440" w:bottom="1440" w:left="1440" w:header="720" w:footer="720" w:gutter="0"/>
          <w:lnNumType w:countBy="1" w:restart="newSection"/>
          <w:cols w:space="720"/>
          <w:titlePg/>
          <w:docGrid w:linePitch="360"/>
        </w:sectPr>
      </w:pPr>
      <w:r>
        <w:t>§24</w:t>
      </w:r>
      <w:r w:rsidRPr="002B30C1">
        <w:t>-</w:t>
      </w:r>
      <w:r>
        <w:t>1</w:t>
      </w:r>
      <w:r w:rsidRPr="002B30C1">
        <w:t>-</w:t>
      </w:r>
      <w:r>
        <w:t>1. Legislative purpose and policy; plan for internal reorganization; promulgation of plan as rule; cooperation with Joint Committee on Government and Finance.</w:t>
      </w:r>
    </w:p>
    <w:p w14:paraId="7C20D8AA" w14:textId="77777777" w:rsidR="00887C6E" w:rsidRPr="005518FC" w:rsidRDefault="00887C6E" w:rsidP="00642D7E">
      <w:pPr>
        <w:pStyle w:val="SectionBody"/>
        <w:rPr>
          <w:rFonts w:eastAsia="MingLiU-ExtB" w:cs="Arial"/>
        </w:rPr>
      </w:pPr>
      <w:r w:rsidRPr="005518FC">
        <w:rPr>
          <w:rFonts w:eastAsia="MingLiU-ExtB" w:cs="Arial"/>
        </w:rPr>
        <w:t>(a) It is the purpose and policy of the Legislature in enacting this chapter to confer upon the Public Service Commission of this state the authority and duty to enforce and regulate the practices, services and rates of public utilities in order to:</w:t>
      </w:r>
    </w:p>
    <w:p w14:paraId="1324DF28" w14:textId="77777777" w:rsidR="00887C6E" w:rsidRPr="005518FC" w:rsidRDefault="00887C6E" w:rsidP="00642D7E">
      <w:pPr>
        <w:pStyle w:val="SectionBody"/>
        <w:rPr>
          <w:rFonts w:eastAsia="MingLiU-ExtB" w:cs="Arial"/>
        </w:rPr>
      </w:pPr>
      <w:r w:rsidRPr="005518FC">
        <w:rPr>
          <w:rFonts w:eastAsia="MingLiU-ExtB" w:cs="Arial"/>
        </w:rPr>
        <w:t>(1) Ensure fair and prompt regulation of public utilities in the interest of the using and consuming public;</w:t>
      </w:r>
    </w:p>
    <w:p w14:paraId="0891BC81" w14:textId="77777777" w:rsidR="00887C6E" w:rsidRPr="005518FC" w:rsidRDefault="00887C6E" w:rsidP="00642D7E">
      <w:pPr>
        <w:pStyle w:val="SectionBody"/>
        <w:rPr>
          <w:rFonts w:eastAsia="MingLiU-ExtB" w:cs="Arial"/>
        </w:rPr>
      </w:pPr>
      <w:r w:rsidRPr="005518FC">
        <w:rPr>
          <w:rFonts w:eastAsia="MingLiU-ExtB" w:cs="Arial"/>
        </w:rPr>
        <w:t>(2) Provide the availability of adequate, economical and reliable utility services throughout the state;</w:t>
      </w:r>
    </w:p>
    <w:p w14:paraId="59F95277" w14:textId="77777777" w:rsidR="00887C6E" w:rsidRPr="005518FC" w:rsidRDefault="00887C6E" w:rsidP="00642D7E">
      <w:pPr>
        <w:pStyle w:val="SectionBody"/>
        <w:rPr>
          <w:rFonts w:eastAsia="MingLiU-ExtB" w:cs="Arial"/>
        </w:rPr>
      </w:pPr>
      <w:r w:rsidRPr="005518FC">
        <w:rPr>
          <w:rFonts w:eastAsia="MingLiU-ExtB" w:cs="Arial"/>
        </w:rPr>
        <w:t>(3) Encourage the well</w:t>
      </w:r>
      <w:r>
        <w:t>-</w:t>
      </w:r>
      <w:r w:rsidRPr="005518FC">
        <w:rPr>
          <w:rFonts w:eastAsia="MingLiU-ExtB" w:cs="Arial"/>
        </w:rPr>
        <w:t>planned development of utility resources in a manner consistent with state needs and in ways consistent with the productive use of the state</w:t>
      </w:r>
      <w:r w:rsidRPr="005518FC">
        <w:rPr>
          <w:rFonts w:eastAsia="MingLiU-ExtB" w:cs="Arial"/>
        </w:rPr>
        <w:sym w:font="Arial" w:char="0027"/>
      </w:r>
      <w:r w:rsidRPr="005518FC">
        <w:rPr>
          <w:rFonts w:eastAsia="MingLiU-ExtB" w:cs="Arial"/>
        </w:rPr>
        <w:t>s energy resources, such as coal;</w:t>
      </w:r>
    </w:p>
    <w:p w14:paraId="4CDD8283" w14:textId="77777777" w:rsidR="00887C6E" w:rsidRPr="005518FC" w:rsidRDefault="00887C6E" w:rsidP="00642D7E">
      <w:pPr>
        <w:pStyle w:val="SectionBody"/>
        <w:rPr>
          <w:rFonts w:eastAsia="MingLiU-ExtB" w:cs="Arial"/>
        </w:rPr>
      </w:pPr>
      <w:r w:rsidRPr="005518FC">
        <w:rPr>
          <w:rFonts w:eastAsia="MingLiU-ExtB" w:cs="Arial"/>
        </w:rPr>
        <w:t>(4) Ensure that rates and charges for utility services are just, reasonable, applied without unjust discrimination or preference, applied in a manner consistent with the purposes and policies set forth in article two</w:t>
      </w:r>
      <w:r>
        <w:t>-</w:t>
      </w:r>
      <w:r w:rsidRPr="005518FC">
        <w:rPr>
          <w:rFonts w:eastAsia="MingLiU-ExtB" w:cs="Arial"/>
        </w:rPr>
        <w:t>a of this chapter and based primarily on the costs of providing these services;</w:t>
      </w:r>
    </w:p>
    <w:p w14:paraId="68E4A8EA" w14:textId="77777777" w:rsidR="00887C6E" w:rsidRPr="005518FC" w:rsidRDefault="00887C6E" w:rsidP="00642D7E">
      <w:pPr>
        <w:pStyle w:val="SectionBody"/>
        <w:rPr>
          <w:rFonts w:eastAsia="MingLiU-ExtB" w:cs="Arial"/>
        </w:rPr>
      </w:pPr>
      <w:r w:rsidRPr="005518FC">
        <w:rPr>
          <w:rFonts w:eastAsia="MingLiU-ExtB" w:cs="Arial"/>
        </w:rPr>
        <w:t>(5) Encourage energy conservation and the effective and efficient management of regulated utility enterprises; and</w:t>
      </w:r>
    </w:p>
    <w:p w14:paraId="2731043B" w14:textId="77777777" w:rsidR="00887C6E" w:rsidRPr="005518FC" w:rsidRDefault="00887C6E" w:rsidP="00642D7E">
      <w:pPr>
        <w:pStyle w:val="SectionBody"/>
        <w:rPr>
          <w:rFonts w:eastAsia="MingLiU-ExtB" w:cs="Arial"/>
        </w:rPr>
      </w:pPr>
      <w:r w:rsidRPr="005518FC">
        <w:rPr>
          <w:rFonts w:eastAsia="MingLiU-ExtB" w:cs="Arial"/>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1E7C2281" w14:textId="77777777" w:rsidR="00887C6E" w:rsidRPr="005518FC" w:rsidRDefault="00887C6E" w:rsidP="00642D7E">
      <w:pPr>
        <w:pStyle w:val="SectionBody"/>
        <w:rPr>
          <w:rFonts w:eastAsia="MingLiU-ExtB" w:cs="Arial"/>
        </w:rPr>
      </w:pPr>
      <w:r w:rsidRPr="005518FC">
        <w:rPr>
          <w:rFonts w:eastAsia="MingLiU-ExtB" w:cs="Arial"/>
        </w:rPr>
        <w:lastRenderedPageBreak/>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5518FC">
        <w:rPr>
          <w:rFonts w:eastAsia="MingLiU-ExtB" w:cs="Arial"/>
        </w:rPr>
        <w:sym w:font="Arial" w:char="0027"/>
      </w:r>
      <w:r w:rsidRPr="005518FC">
        <w:rPr>
          <w:rFonts w:eastAsia="MingLiU-ExtB" w:cs="Arial"/>
        </w:rPr>
        <w:t>s economy and the interests of the utilities subject to its jurisdiction in its deliberations and decisions.</w:t>
      </w:r>
    </w:p>
    <w:p w14:paraId="1B4464E4" w14:textId="77777777" w:rsidR="00887C6E" w:rsidRPr="005518FC" w:rsidRDefault="00887C6E" w:rsidP="00642D7E">
      <w:pPr>
        <w:pStyle w:val="SectionBody"/>
        <w:rPr>
          <w:rFonts w:eastAsia="MingLiU-ExtB" w:cs="Arial"/>
        </w:rPr>
      </w:pPr>
      <w:r w:rsidRPr="005518FC">
        <w:rPr>
          <w:rFonts w:eastAsia="MingLiU-ExtB" w:cs="Arial"/>
        </w:rPr>
        <w:t>(c) The Legislature directs the Public Service Commission to identify, explore and consider the potential benefits or risks associated with emerging and state</w:t>
      </w:r>
      <w:r>
        <w:t>-</w:t>
      </w:r>
      <w:r w:rsidRPr="005518FC">
        <w:rPr>
          <w:rFonts w:eastAsia="MingLiU-ExtB" w:cs="Arial"/>
        </w:rPr>
        <w:t>of</w:t>
      </w:r>
      <w:r>
        <w:t>-</w:t>
      </w:r>
      <w:r w:rsidRPr="005518FC">
        <w:rPr>
          <w:rFonts w:eastAsia="MingLiU-ExtB" w:cs="Arial"/>
        </w:rPr>
        <w:t>the</w:t>
      </w:r>
      <w:r>
        <w:t>-</w:t>
      </w:r>
      <w:r w:rsidRPr="005518FC">
        <w:rPr>
          <w:rFonts w:eastAsia="MingLiU-ExtB" w:cs="Arial"/>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29DF30E2" w14:textId="77777777" w:rsidR="00887C6E" w:rsidRPr="005518FC" w:rsidRDefault="00887C6E" w:rsidP="00642D7E">
      <w:pPr>
        <w:pStyle w:val="SectionBody"/>
        <w:rPr>
          <w:rFonts w:eastAsia="MingLiU-ExtB" w:cs="Arial"/>
        </w:rPr>
      </w:pPr>
      <w:r w:rsidRPr="005518FC">
        <w:rPr>
          <w:rFonts w:eastAsia="MingLiU-ExtB" w:cs="Arial"/>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72630E76" w14:textId="77777777" w:rsidR="00887C6E" w:rsidRPr="005518FC" w:rsidRDefault="00887C6E" w:rsidP="00642D7E">
      <w:pPr>
        <w:pStyle w:val="SectionBody"/>
        <w:rPr>
          <w:rFonts w:eastAsia="MingLiU-ExtB" w:cs="Arial"/>
        </w:rPr>
      </w:pPr>
      <w:r w:rsidRPr="005518FC">
        <w:rPr>
          <w:rFonts w:eastAsia="MingLiU-ExtB" w:cs="Arial"/>
        </w:rPr>
        <w:t>(1) The major activities of the commission for the year especially as such activities relate to the implementation of the provisions of this chapter;</w:t>
      </w:r>
    </w:p>
    <w:p w14:paraId="5D2EC631" w14:textId="77777777" w:rsidR="00887C6E" w:rsidRPr="005518FC" w:rsidRDefault="00887C6E" w:rsidP="00642D7E">
      <w:pPr>
        <w:pStyle w:val="SectionBody"/>
        <w:rPr>
          <w:rFonts w:eastAsia="MingLiU-ExtB" w:cs="Arial"/>
        </w:rPr>
      </w:pPr>
      <w:r w:rsidRPr="005518FC">
        <w:rPr>
          <w:rFonts w:eastAsia="MingLiU-ExtB" w:cs="Arial"/>
        </w:rPr>
        <w:t>(2) Important policy decisions reached and initiatives undertaken during the year;</w:t>
      </w:r>
    </w:p>
    <w:p w14:paraId="6676336B" w14:textId="77777777" w:rsidR="00887C6E" w:rsidRPr="005518FC" w:rsidRDefault="00887C6E" w:rsidP="00642D7E">
      <w:pPr>
        <w:pStyle w:val="SectionBody"/>
        <w:rPr>
          <w:rFonts w:eastAsia="MingLiU-ExtB" w:cs="Arial"/>
        </w:rPr>
      </w:pPr>
      <w:r w:rsidRPr="005518FC">
        <w:rPr>
          <w:rFonts w:eastAsia="MingLiU-ExtB" w:cs="Arial"/>
        </w:rPr>
        <w:t>(3) The current balance of supply and demand for natural gas and electric utility services in the state and forecast of the probable balance for the next ten years; and</w:t>
      </w:r>
    </w:p>
    <w:p w14:paraId="5F9F861B" w14:textId="77777777" w:rsidR="00887C6E" w:rsidRPr="005518FC" w:rsidRDefault="00887C6E" w:rsidP="00642D7E">
      <w:pPr>
        <w:pStyle w:val="SectionBody"/>
        <w:rPr>
          <w:rFonts w:eastAsia="MingLiU-ExtB" w:cs="Arial"/>
        </w:rPr>
      </w:pPr>
      <w:r w:rsidRPr="005518FC">
        <w:rPr>
          <w:rFonts w:eastAsia="MingLiU-ExtB" w:cs="Arial"/>
        </w:rPr>
        <w:t>(4) Other information considered by the commission to be important including recommendations for statutory reform and the reasons for such recommendations.</w:t>
      </w:r>
    </w:p>
    <w:p w14:paraId="05E8ABC7" w14:textId="77777777" w:rsidR="00887C6E" w:rsidRPr="005518FC" w:rsidRDefault="00887C6E" w:rsidP="00642D7E">
      <w:pPr>
        <w:pStyle w:val="SectionBody"/>
        <w:rPr>
          <w:rFonts w:eastAsia="MingLiU-ExtB" w:cs="Arial"/>
        </w:rPr>
      </w:pPr>
      <w:r w:rsidRPr="005518FC">
        <w:rPr>
          <w:rFonts w:eastAsia="MingLiU-ExtB" w:cs="Arial"/>
        </w:rPr>
        <w:t xml:space="preserve">(e) In addition to any other studies and reports required to be conducted and made by the </w:t>
      </w:r>
      <w:r w:rsidRPr="005518FC">
        <w:rPr>
          <w:rFonts w:eastAsia="MingLiU-ExtB" w:cs="Arial"/>
        </w:rPr>
        <w:lastRenderedPageBreak/>
        <w:t>Public Service Commission pursuant to any other provision of this section, the commission shall study and initially report to the Legislature no later than the first day of the regular session of the Legislature in the year 1980 upon:</w:t>
      </w:r>
    </w:p>
    <w:p w14:paraId="4A12AF55" w14:textId="77777777" w:rsidR="00887C6E" w:rsidRPr="005518FC" w:rsidRDefault="00887C6E" w:rsidP="00642D7E">
      <w:pPr>
        <w:pStyle w:val="SectionBody"/>
        <w:rPr>
          <w:rFonts w:eastAsia="MingLiU-ExtB" w:cs="Arial"/>
        </w:rPr>
      </w:pPr>
      <w:r w:rsidRPr="005518FC">
        <w:rPr>
          <w:rFonts w:eastAsia="MingLiU-ExtB" w:cs="Arial"/>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49DD3901" w14:textId="77777777" w:rsidR="00887C6E" w:rsidRPr="005518FC" w:rsidRDefault="00887C6E" w:rsidP="00642D7E">
      <w:pPr>
        <w:pStyle w:val="SectionBody"/>
        <w:rPr>
          <w:rFonts w:eastAsia="MingLiU-ExtB" w:cs="Arial"/>
        </w:rPr>
      </w:pPr>
      <w:r w:rsidRPr="005518FC">
        <w:rPr>
          <w:rFonts w:eastAsia="MingLiU-ExtB" w:cs="Arial"/>
        </w:rPr>
        <w:t>(2) The extent of the export and import of natural gas utility supplies in West Virginia.</w:t>
      </w:r>
    </w:p>
    <w:p w14:paraId="46E0AF22" w14:textId="77777777" w:rsidR="00887C6E" w:rsidRPr="005518FC" w:rsidRDefault="00887C6E" w:rsidP="00642D7E">
      <w:pPr>
        <w:pStyle w:val="SectionBody"/>
        <w:rPr>
          <w:rFonts w:eastAsia="MingLiU-ExtB" w:cs="Arial"/>
        </w:rPr>
      </w:pPr>
      <w:r w:rsidRPr="005518FC">
        <w:rPr>
          <w:rFonts w:eastAsia="MingLiU-ExtB" w:cs="Arial"/>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34AB880A" w14:textId="77777777" w:rsidR="00887C6E" w:rsidRPr="005518FC" w:rsidRDefault="00887C6E" w:rsidP="00642D7E">
      <w:pPr>
        <w:pStyle w:val="SectionBody"/>
        <w:rPr>
          <w:rFonts w:eastAsia="MingLiU-ExtB" w:cs="Arial"/>
        </w:rPr>
      </w:pPr>
      <w:r w:rsidRPr="005518FC">
        <w:rPr>
          <w:rFonts w:eastAsia="MingLiU-ExtB" w:cs="Arial"/>
        </w:rPr>
        <w:t>(f) No later than the first day of the regular session of the Legislature in the year 1980, the Public Service Commission shall submit to the Legislature a plan for internal reorganization which plan shall specifically address the following:</w:t>
      </w:r>
    </w:p>
    <w:p w14:paraId="338EB58F" w14:textId="77777777" w:rsidR="00887C6E" w:rsidRPr="005518FC" w:rsidRDefault="00887C6E" w:rsidP="00642D7E">
      <w:pPr>
        <w:pStyle w:val="SectionBody"/>
        <w:rPr>
          <w:rFonts w:eastAsia="MingLiU-ExtB" w:cs="Arial"/>
        </w:rPr>
      </w:pPr>
      <w:r w:rsidRPr="005518FC">
        <w:rPr>
          <w:rFonts w:eastAsia="MingLiU-ExtB" w:cs="Arial"/>
        </w:rPr>
        <w:t xml:space="preserve">(1) A division within the Public Service Commission which shall include the office of the commissioners, the hearing examiners and such support staff as may be necessary to carry out the functions of decisionmaking and general supervision of the commission, which functions shall </w:t>
      </w:r>
      <w:r w:rsidRPr="005518FC">
        <w:rPr>
          <w:rFonts w:eastAsia="MingLiU-ExtB" w:cs="Arial"/>
        </w:rPr>
        <w:lastRenderedPageBreak/>
        <w:t>not include advocacy in cases before the commission;</w:t>
      </w:r>
    </w:p>
    <w:p w14:paraId="04D80532" w14:textId="77777777" w:rsidR="00887C6E" w:rsidRPr="005518FC" w:rsidRDefault="00887C6E" w:rsidP="00642D7E">
      <w:pPr>
        <w:pStyle w:val="SectionBody"/>
        <w:rPr>
          <w:rFonts w:eastAsia="MingLiU-ExtB" w:cs="Arial"/>
        </w:rPr>
      </w:pPr>
      <w:r w:rsidRPr="005518FC">
        <w:rPr>
          <w:rFonts w:eastAsia="MingLiU-ExtB" w:cs="Arial"/>
        </w:rPr>
        <w:t>(2) The creation of a division which shall act as an advocate for the position of and in the interest of all customers;</w:t>
      </w:r>
    </w:p>
    <w:p w14:paraId="6E4C0543" w14:textId="77777777" w:rsidR="00887C6E" w:rsidRPr="005518FC" w:rsidRDefault="00887C6E" w:rsidP="00642D7E">
      <w:pPr>
        <w:pStyle w:val="SectionBody"/>
        <w:rPr>
          <w:rFonts w:eastAsia="MingLiU-ExtB" w:cs="Arial"/>
        </w:rPr>
      </w:pPr>
      <w:r w:rsidRPr="005518FC">
        <w:rPr>
          <w:rFonts w:eastAsia="MingLiU-ExtB" w:cs="Arial"/>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7572BAB8" w14:textId="77777777" w:rsidR="00887C6E" w:rsidRPr="005518FC" w:rsidRDefault="00887C6E" w:rsidP="00642D7E">
      <w:pPr>
        <w:pStyle w:val="SectionBody"/>
        <w:rPr>
          <w:rFonts w:eastAsia="MingLiU-ExtB" w:cs="Arial"/>
        </w:rPr>
      </w:pPr>
      <w:r w:rsidRPr="005518FC">
        <w:rPr>
          <w:rFonts w:eastAsia="MingLiU-ExtB" w:cs="Arial"/>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4D722DE3" w14:textId="77777777" w:rsidR="00887C6E" w:rsidRPr="005518FC" w:rsidRDefault="00887C6E" w:rsidP="00642D7E">
      <w:pPr>
        <w:pStyle w:val="SectionBody"/>
        <w:rPr>
          <w:rFonts w:eastAsia="MingLiU-ExtB" w:cs="Arial"/>
        </w:rPr>
      </w:pPr>
      <w:r w:rsidRPr="005518FC">
        <w:rPr>
          <w:rFonts w:eastAsia="MingLiU-ExtB" w:cs="Arial"/>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30573FD9" w14:textId="77777777" w:rsidR="00887C6E" w:rsidRPr="005518FC" w:rsidRDefault="00887C6E" w:rsidP="00642D7E">
      <w:pPr>
        <w:pStyle w:val="SectionBody"/>
        <w:rPr>
          <w:rFonts w:eastAsia="MingLiU-ExtB" w:cs="Arial"/>
        </w:rPr>
      </w:pPr>
      <w:r w:rsidRPr="005518FC">
        <w:rPr>
          <w:rFonts w:eastAsia="MingLiU-ExtB" w:cs="Arial"/>
        </w:rPr>
        <w:t>(6) The manner in which the commission will strengthen its knowledge and independent capacity to analyze key conditions and trends in the industries it regulates extending from general industry analysis and supply</w:t>
      </w:r>
      <w:r>
        <w:t>-</w:t>
      </w:r>
      <w:r w:rsidRPr="005518FC">
        <w:rPr>
          <w:rFonts w:eastAsia="MingLiU-ExtB" w:cs="Arial"/>
        </w:rPr>
        <w:t>demand forecasting to continuing and more thorough scrutiny of the capacity planning, construction management, operating performance and financial condition of the major companies within these industries.</w:t>
      </w:r>
    </w:p>
    <w:p w14:paraId="1E392E44" w14:textId="77777777" w:rsidR="00887C6E" w:rsidRPr="005518FC" w:rsidRDefault="00887C6E" w:rsidP="00642D7E">
      <w:pPr>
        <w:pStyle w:val="SectionBody"/>
        <w:rPr>
          <w:rFonts w:eastAsia="MingLiU-ExtB" w:cs="Arial"/>
        </w:rPr>
      </w:pPr>
      <w:r w:rsidRPr="005518FC">
        <w:rPr>
          <w:rFonts w:eastAsia="MingLiU-ExtB" w:cs="Arial"/>
        </w:rPr>
        <w:t xml:space="preserve">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w:t>
      </w:r>
      <w:r w:rsidRPr="005518FC">
        <w:rPr>
          <w:rFonts w:eastAsia="MingLiU-ExtB" w:cs="Arial"/>
        </w:rPr>
        <w:lastRenderedPageBreak/>
        <w:t>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12B0B6A8" w14:textId="77777777" w:rsidR="00887C6E" w:rsidRPr="005518FC" w:rsidRDefault="00887C6E" w:rsidP="00642D7E">
      <w:pPr>
        <w:pStyle w:val="SectionBody"/>
        <w:rPr>
          <w:rFonts w:eastAsia="MingLiU-ExtB" w:cs="Arial"/>
        </w:rPr>
      </w:pPr>
      <w:r w:rsidRPr="005518FC">
        <w:rPr>
          <w:rFonts w:eastAsia="MingLiU-ExtB" w:cs="Arial"/>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205BF73E" w14:textId="77777777" w:rsidR="00887C6E" w:rsidRPr="005518FC" w:rsidRDefault="00887C6E" w:rsidP="00642D7E">
      <w:pPr>
        <w:pStyle w:val="SectionBody"/>
        <w:rPr>
          <w:rFonts w:eastAsia="MingLiU-ExtB" w:cs="Arial"/>
        </w:rPr>
      </w:pPr>
      <w:r w:rsidRPr="005518FC">
        <w:rPr>
          <w:rFonts w:eastAsia="MingLiU-ExtB" w:cs="Arial"/>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0328BF72" w14:textId="77777777" w:rsidR="00887C6E" w:rsidRPr="005518FC" w:rsidRDefault="00887C6E" w:rsidP="00642D7E">
      <w:pPr>
        <w:pStyle w:val="SectionBody"/>
        <w:rPr>
          <w:rFonts w:eastAsia="MingLiU-ExtB" w:cs="Arial"/>
        </w:rPr>
      </w:pPr>
      <w:r w:rsidRPr="005518FC">
        <w:rPr>
          <w:rFonts w:eastAsia="MingLiU-ExtB" w:cs="Arial"/>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5518FC">
        <w:rPr>
          <w:rFonts w:eastAsia="MingLiU-ExtB" w:cs="Arial"/>
          <w:i/>
          <w:iCs/>
        </w:rPr>
        <w:t>Provided</w:t>
      </w:r>
      <w:r w:rsidRPr="005518FC">
        <w:rPr>
          <w:rFonts w:eastAsia="MingLiU-ExtB" w:cs="Arial"/>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4D453B8D" w14:textId="77777777" w:rsidR="00887C6E" w:rsidRPr="005518FC" w:rsidRDefault="00887C6E" w:rsidP="00642D7E">
      <w:pPr>
        <w:pStyle w:val="SectionBody"/>
        <w:rPr>
          <w:rFonts w:eastAsia="MingLiU-ExtB" w:cs="Arial"/>
        </w:rPr>
      </w:pPr>
      <w:r w:rsidRPr="005518FC">
        <w:rPr>
          <w:rFonts w:eastAsia="MingLiU-ExtB" w:cs="Arial"/>
        </w:rPr>
        <w:t>The rules promulgated and made effective pursuant to this section shall be effective notwithstanding any other provisions of this code for the promulgation of rules or regulations.</w:t>
      </w:r>
    </w:p>
    <w:p w14:paraId="740A6078" w14:textId="77777777" w:rsidR="00887C6E" w:rsidRPr="005518FC" w:rsidRDefault="00887C6E" w:rsidP="00642D7E">
      <w:pPr>
        <w:pStyle w:val="SectionBody"/>
        <w:rPr>
          <w:rFonts w:eastAsia="MingLiU-ExtB" w:cs="Arial"/>
        </w:rPr>
      </w:pPr>
      <w:r w:rsidRPr="005518FC">
        <w:rPr>
          <w:rFonts w:eastAsia="MingLiU-ExtB" w:cs="Arial"/>
        </w:rPr>
        <w:t xml:space="preserve">(g) The Public Service Commission is hereby directed to cooperate with the Joint </w:t>
      </w:r>
      <w:r w:rsidRPr="005518FC">
        <w:rPr>
          <w:rFonts w:eastAsia="MingLiU-ExtB" w:cs="Arial"/>
        </w:rPr>
        <w:lastRenderedPageBreak/>
        <w:t>Committee on Government and Finance of the Legislature in its review, examination and study of the administrative operations and enforcement record of the Railroad Safety Division of the Public Service Commission and any similar studies.</w:t>
      </w:r>
    </w:p>
    <w:p w14:paraId="4D23E10A" w14:textId="77777777" w:rsidR="00887C6E" w:rsidRPr="005518FC" w:rsidRDefault="00887C6E" w:rsidP="00642D7E">
      <w:pPr>
        <w:pStyle w:val="SectionBody"/>
        <w:rPr>
          <w:rFonts w:eastAsia="MingLiU-ExtB" w:cs="Arial"/>
        </w:rPr>
      </w:pPr>
      <w:r w:rsidRPr="005518FC">
        <w:rPr>
          <w:rFonts w:eastAsia="MingLiU-ExtB" w:cs="Arial"/>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747D29CD" w14:textId="77777777" w:rsidR="00887C6E" w:rsidRPr="005518FC" w:rsidRDefault="00887C6E" w:rsidP="00642D7E">
      <w:pPr>
        <w:pStyle w:val="SectionBody"/>
        <w:rPr>
          <w:rFonts w:eastAsia="MingLiU-ExtB" w:cs="Arial"/>
        </w:rPr>
      </w:pPr>
      <w:r w:rsidRPr="005518FC">
        <w:rPr>
          <w:rFonts w:eastAsia="MingLiU-ExtB" w:cs="Arial"/>
        </w:rPr>
        <w:t>(2) The Legislature further finds that the practices of natural gas utilities in purchasing high</w:t>
      </w:r>
      <w:r>
        <w:t>-</w:t>
      </w:r>
      <w:r w:rsidRPr="005518FC">
        <w:rPr>
          <w:rFonts w:eastAsia="MingLiU-ExtB" w:cs="Arial"/>
        </w:rPr>
        <w:t>priced gas supplies, in purchasing gas supplies from out</w:t>
      </w:r>
      <w:r>
        <w:t>-</w:t>
      </w:r>
      <w:r w:rsidRPr="005518FC">
        <w:rPr>
          <w:rFonts w:eastAsia="MingLiU-ExtB" w:cs="Arial"/>
        </w:rPr>
        <w:t>of</w:t>
      </w:r>
      <w:r>
        <w:t>-</w:t>
      </w:r>
      <w:r w:rsidRPr="005518FC">
        <w:rPr>
          <w:rFonts w:eastAsia="MingLiU-ExtB" w:cs="Arial"/>
        </w:rPr>
        <w:t>state sources when West Virginia possesses abundant natural gas, and in securing supplies, directly or indirectly, by contractual agreements including take</w:t>
      </w:r>
      <w:r>
        <w:t>-</w:t>
      </w:r>
      <w:r w:rsidRPr="005518FC">
        <w:rPr>
          <w:rFonts w:eastAsia="MingLiU-ExtB" w:cs="Arial"/>
        </w:rPr>
        <w:t>or</w:t>
      </w:r>
      <w:r>
        <w:t>-</w:t>
      </w:r>
      <w:r w:rsidRPr="005518FC">
        <w:rPr>
          <w:rFonts w:eastAsia="MingLiU-ExtB" w:cs="Arial"/>
        </w:rPr>
        <w:t>pay provisions, indefinite price escalators or most</w:t>
      </w:r>
      <w:r>
        <w:t>-</w:t>
      </w:r>
      <w:r w:rsidRPr="005518FC">
        <w:rPr>
          <w:rFonts w:eastAsia="MingLiU-ExtB" w:cs="Arial"/>
        </w:rPr>
        <w:t>favored nation clauses have contributed to the dramatic increase in natural gas prices. It is therefore the policy of the Legislature to discourage such purchasing practices in order to protect all customer classes.</w:t>
      </w:r>
    </w:p>
    <w:p w14:paraId="00B99044" w14:textId="77777777" w:rsidR="00887C6E" w:rsidRPr="005518FC" w:rsidRDefault="00887C6E" w:rsidP="00642D7E">
      <w:pPr>
        <w:pStyle w:val="SectionBody"/>
        <w:rPr>
          <w:rFonts w:eastAsia="MingLiU-ExtB" w:cs="Arial"/>
        </w:rPr>
      </w:pPr>
      <w:r w:rsidRPr="005518FC">
        <w:rPr>
          <w:rFonts w:eastAsia="MingLiU-ExtB" w:cs="Arial"/>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69E03EAB" w14:textId="77777777" w:rsidR="00887C6E" w:rsidRPr="005518FC" w:rsidRDefault="00887C6E" w:rsidP="00642D7E">
      <w:pPr>
        <w:pStyle w:val="SectionBody"/>
        <w:rPr>
          <w:rFonts w:eastAsia="MingLiU-ExtB" w:cs="Arial"/>
        </w:rPr>
      </w:pPr>
      <w:r w:rsidRPr="005518FC">
        <w:rPr>
          <w:rFonts w:eastAsia="MingLiU-ExtB" w:cs="Arial"/>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5AD10847" w14:textId="77777777" w:rsidR="00887C6E" w:rsidRDefault="00887C6E" w:rsidP="00642D7E">
      <w:pPr>
        <w:pStyle w:val="SectionBody"/>
      </w:pPr>
      <w:r w:rsidRPr="005518FC">
        <w:rPr>
          <w:rFonts w:eastAsia="MingLiU-ExtB" w:cs="Arial"/>
        </w:rPr>
        <w:t>(j) The Legislature further finds that water and sewer utilities that are political subdivisions of the state providing separate or combined services and having at least four thousand five hundred customers and</w:t>
      </w:r>
      <w:r w:rsidRPr="005518FC">
        <w:rPr>
          <w:rFonts w:cs="Arial"/>
        </w:rPr>
        <w:t xml:space="preserve"> </w:t>
      </w:r>
      <w:r>
        <w:t xml:space="preserve">annual gross revenues of $3 million or more are most fairly and effectively </w:t>
      </w:r>
      <w:r>
        <w:lastRenderedPageBreak/>
        <w:t>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4D6AB2" w14:textId="31D23DB2" w:rsidR="00887C6E" w:rsidRDefault="00887C6E" w:rsidP="003D59D5">
      <w:pPr>
        <w:pStyle w:val="SectionBody"/>
      </w:pPr>
      <w: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36333667" w14:textId="20F9709C" w:rsidR="003D59D5" w:rsidRDefault="003D59D5" w:rsidP="003D59D5">
      <w:pPr>
        <w:pStyle w:val="SectionBody"/>
        <w:rPr>
          <w:u w:val="single"/>
        </w:rPr>
      </w:pPr>
      <w:r>
        <w:rPr>
          <w:u w:val="single"/>
        </w:rPr>
        <w:t>(l) The Legislature further finds the needs to provide a mechanism for water and sewer utilities that are political subdivisions of the state to implement annual rate increases based upon the United States Department of Bureau of Labor Statistics Water and Sewerage Maintenance Index.</w:t>
      </w:r>
    </w:p>
    <w:p w14:paraId="48A49C77" w14:textId="2B3CC19A" w:rsidR="003D59D5" w:rsidRDefault="003D59D5" w:rsidP="003D59D5">
      <w:pPr>
        <w:pStyle w:val="SectionBody"/>
        <w:rPr>
          <w:u w:val="single"/>
        </w:rPr>
      </w:pPr>
      <w:r>
        <w:rPr>
          <w:u w:val="single"/>
        </w:rPr>
        <w:t>(1) Urban Consumer Water and Sew</w:t>
      </w:r>
      <w:r w:rsidR="005F73E2">
        <w:rPr>
          <w:u w:val="single"/>
        </w:rPr>
        <w:t>er</w:t>
      </w:r>
      <w:r>
        <w:rPr>
          <w:u w:val="single"/>
        </w:rPr>
        <w:t>age Maintenance Index rate change – publicly owned water and sewer utilities shall be permitted to increase rates for the treatment and distribution of water and collection and treatment of wastewater once on or after January 1 of each year, without the filing of an application for approval by the commission or action by the governing body and such increase shall be considered just and not unfairly discriminatory, prejudicial, or preferential if: (A) the percentage increase over the prior rate is equal to or less than the percentage increase in the United States Department of Labor Bureau of Labor Statistics Water and Sewerage Maintenance Index (the "Index") between September of the year preceding the effective date of the requested increase and September of the year prior to the year preceding</w:t>
      </w:r>
      <w:r w:rsidR="00182FDB">
        <w:rPr>
          <w:u w:val="single"/>
        </w:rPr>
        <w:t xml:space="preserve"> the effective date of the requested rate increase (the "relevant time period"); (B) the utility files a revised tariff in compliance with the commission's rules and regulations; and (C) notice is provided as directed by the commission.</w:t>
      </w:r>
    </w:p>
    <w:p w14:paraId="081AA4A6" w14:textId="162D2C55" w:rsidR="00182FDB" w:rsidRDefault="00182FDB" w:rsidP="003D59D5">
      <w:pPr>
        <w:pStyle w:val="SectionBody"/>
        <w:rPr>
          <w:u w:val="single"/>
        </w:rPr>
      </w:pPr>
      <w:r>
        <w:rPr>
          <w:u w:val="single"/>
        </w:rPr>
        <w:lastRenderedPageBreak/>
        <w:t xml:space="preserve">(2) After September 30 of each year, the commission shall issue a general order stating the percentage increase in the Index and the inflation factor to apply to the rates currently </w:t>
      </w:r>
      <w:r w:rsidR="0038137D">
        <w:rPr>
          <w:u w:val="single"/>
        </w:rPr>
        <w:t xml:space="preserve">in effect to calculate the maximum increase authorized under this subsection. Any rate increase that a utility believes is at or below the aforementioned </w:t>
      </w:r>
      <w:r w:rsidR="00504721">
        <w:rPr>
          <w:u w:val="single"/>
        </w:rPr>
        <w:t xml:space="preserve">increase in the Index shall be identified as such when filed with the commission. Such rate increases shall be subject to challenge by the commission only if it determines the increase is in fact in excess of the amount of this increase in the Index for the relevant time period. If the commission determines a rate increase filed pursuant to this subsection is in excess of the increase in the Index for the relevant time period, it may enter an order </w:t>
      </w:r>
      <w:r w:rsidR="00512176">
        <w:rPr>
          <w:u w:val="single"/>
        </w:rPr>
        <w:t>suspending</w:t>
      </w:r>
      <w:r w:rsidR="00504721">
        <w:rPr>
          <w:u w:val="single"/>
        </w:rPr>
        <w:t xml:space="preserve"> the rate increase. If such an order is entered, the utility shall be entitled to a hearing pursuant to the process authorized in §24-2-3 or §24-2-4a </w:t>
      </w:r>
      <w:r w:rsidR="00685214">
        <w:rPr>
          <w:u w:val="single"/>
        </w:rPr>
        <w:t xml:space="preserve">of this code </w:t>
      </w:r>
      <w:r w:rsidR="00504721">
        <w:rPr>
          <w:u w:val="single"/>
        </w:rPr>
        <w:t xml:space="preserve">or it may correct its requested rates, in which case the suspension will be lifted and the rates may go into effect as of the original requested effective date or the date that the </w:t>
      </w:r>
      <w:r w:rsidR="00512176">
        <w:rPr>
          <w:u w:val="single"/>
        </w:rPr>
        <w:t>utility</w:t>
      </w:r>
      <w:r w:rsidR="00504721">
        <w:rPr>
          <w:u w:val="single"/>
        </w:rPr>
        <w:t xml:space="preserve"> corrects its rates, whichever comes later. </w:t>
      </w:r>
      <w:r w:rsidR="00512176">
        <w:rPr>
          <w:u w:val="single"/>
        </w:rPr>
        <w:t>Notwithstanding any provision to the contrary, the fact that a utility has already raised its rates in a given year pursuant to this subsection shall not preclude that utility from applying for and receiving from the commission a rate increase pursuant to §24-2-3 or §24-2-4a</w:t>
      </w:r>
      <w:r w:rsidR="00685214">
        <w:rPr>
          <w:u w:val="single"/>
        </w:rPr>
        <w:t xml:space="preserve"> of this code</w:t>
      </w:r>
      <w:r w:rsidR="00512176">
        <w:rPr>
          <w:u w:val="single"/>
        </w:rPr>
        <w:t xml:space="preserve">: </w:t>
      </w:r>
      <w:r w:rsidR="00512176">
        <w:rPr>
          <w:i/>
          <w:iCs/>
          <w:u w:val="single"/>
        </w:rPr>
        <w:t>Provided</w:t>
      </w:r>
      <w:r w:rsidR="00512176">
        <w:rPr>
          <w:u w:val="single"/>
        </w:rPr>
        <w:t>, That the commission shall take into account the prior increase taken pursuant to this subsection when considering the utility's application to increase rates. A utility may implement up to four annual indexed rates increases under this subsection before a detailed cash flow analysis verifying the increases are being utilized for the operation, maintenance, replacement, and extension of the system and not creating an inflated cash balance. Following acceptance of the cash flow analysis by the commission, the utility can proceed with implementing the increases described above.</w:t>
      </w:r>
    </w:p>
    <w:p w14:paraId="3AA83589" w14:textId="495922D8" w:rsidR="005F73E2" w:rsidRPr="00512176" w:rsidRDefault="002F0F9F" w:rsidP="003D59D5">
      <w:pPr>
        <w:pStyle w:val="SectionBody"/>
        <w:rPr>
          <w:u w:val="single"/>
        </w:rPr>
      </w:pPr>
      <w:r>
        <w:rPr>
          <w:u w:val="single"/>
        </w:rPr>
        <w:t xml:space="preserve">(3) </w:t>
      </w:r>
      <w:r w:rsidR="005F73E2">
        <w:rPr>
          <w:u w:val="single"/>
        </w:rPr>
        <w:t>A notice of a change in rates pursuant to this section shall be provided to the affected customers by providing a notice showing the intended change in rates at least 30 days and no greater than 60 days prior to the rate change taking effect.</w:t>
      </w:r>
    </w:p>
    <w:p w14:paraId="0F73D925" w14:textId="77777777" w:rsidR="00C33014" w:rsidRDefault="00C33014" w:rsidP="00CC1F3B">
      <w:pPr>
        <w:pStyle w:val="Note"/>
      </w:pPr>
    </w:p>
    <w:p w14:paraId="6A5E16E9" w14:textId="0705DFF9" w:rsidR="006865E9" w:rsidRDefault="00CF1DCA" w:rsidP="00CC1F3B">
      <w:pPr>
        <w:pStyle w:val="Note"/>
      </w:pPr>
      <w:r>
        <w:lastRenderedPageBreak/>
        <w:t>NOTE: The</w:t>
      </w:r>
      <w:r w:rsidR="006865E9">
        <w:t xml:space="preserve"> purpose of this bill is to </w:t>
      </w:r>
      <w:r w:rsidR="005F73E2">
        <w:t>set appropriate time frames and procedures for rate increases for water and sewerage utilities</w:t>
      </w:r>
      <w:r w:rsidR="00703C02">
        <w:t>.</w:t>
      </w:r>
    </w:p>
    <w:p w14:paraId="36A1EAD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F73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59AE" w14:textId="77777777" w:rsidR="00AB5321" w:rsidRPr="00B844FE" w:rsidRDefault="00AB5321" w:rsidP="00B844FE">
      <w:r>
        <w:separator/>
      </w:r>
    </w:p>
  </w:endnote>
  <w:endnote w:type="continuationSeparator" w:id="0">
    <w:p w14:paraId="20D8F355" w14:textId="77777777" w:rsidR="00AB5321" w:rsidRPr="00B844FE" w:rsidRDefault="00AB53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A831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775E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CC89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5718" w14:textId="77777777" w:rsidR="00703C02" w:rsidRDefault="0070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BF4D" w14:textId="77777777" w:rsidR="00AB5321" w:rsidRPr="00B844FE" w:rsidRDefault="00AB5321" w:rsidP="00B844FE">
      <w:r>
        <w:separator/>
      </w:r>
    </w:p>
  </w:footnote>
  <w:footnote w:type="continuationSeparator" w:id="0">
    <w:p w14:paraId="71C96DD1" w14:textId="77777777" w:rsidR="00AB5321" w:rsidRPr="00B844FE" w:rsidRDefault="00AB53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015F" w14:textId="77777777" w:rsidR="002A0269" w:rsidRPr="00B844FE" w:rsidRDefault="007A6321">
    <w:pPr>
      <w:pStyle w:val="Header"/>
    </w:pPr>
    <w:sdt>
      <w:sdtPr>
        <w:id w:val="-684364211"/>
        <w:placeholder>
          <w:docPart w:val="D6D07951ABBF4880A4FBF21E9C8FDF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D07951ABBF4880A4FBF21E9C8FDF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AEE3" w14:textId="786342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F73E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73E2">
          <w:rPr>
            <w:sz w:val="22"/>
            <w:szCs w:val="22"/>
          </w:rPr>
          <w:t>2025R</w:t>
        </w:r>
        <w:r w:rsidR="00B63413">
          <w:rPr>
            <w:sz w:val="22"/>
            <w:szCs w:val="22"/>
          </w:rPr>
          <w:t>3</w:t>
        </w:r>
        <w:r w:rsidR="00703C02">
          <w:rPr>
            <w:sz w:val="22"/>
            <w:szCs w:val="22"/>
          </w:rPr>
          <w:t>452</w:t>
        </w:r>
      </w:sdtContent>
    </w:sdt>
  </w:p>
  <w:p w14:paraId="0237FE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AD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21"/>
    <w:rsid w:val="0000526A"/>
    <w:rsid w:val="000221C9"/>
    <w:rsid w:val="000573A9"/>
    <w:rsid w:val="00085D22"/>
    <w:rsid w:val="00093AB0"/>
    <w:rsid w:val="000C5C77"/>
    <w:rsid w:val="000E3912"/>
    <w:rsid w:val="0010070F"/>
    <w:rsid w:val="0015112E"/>
    <w:rsid w:val="001552E7"/>
    <w:rsid w:val="001566B4"/>
    <w:rsid w:val="00182FDB"/>
    <w:rsid w:val="001A66B7"/>
    <w:rsid w:val="001C04F2"/>
    <w:rsid w:val="001C279E"/>
    <w:rsid w:val="001D459E"/>
    <w:rsid w:val="00211F02"/>
    <w:rsid w:val="0022348D"/>
    <w:rsid w:val="00240207"/>
    <w:rsid w:val="0027011C"/>
    <w:rsid w:val="00274200"/>
    <w:rsid w:val="00275740"/>
    <w:rsid w:val="002A0269"/>
    <w:rsid w:val="002F0F9F"/>
    <w:rsid w:val="00302E57"/>
    <w:rsid w:val="00303684"/>
    <w:rsid w:val="003143F5"/>
    <w:rsid w:val="00314854"/>
    <w:rsid w:val="00316D92"/>
    <w:rsid w:val="0038137D"/>
    <w:rsid w:val="00394191"/>
    <w:rsid w:val="003962F8"/>
    <w:rsid w:val="003C51CD"/>
    <w:rsid w:val="003C6034"/>
    <w:rsid w:val="003D59D5"/>
    <w:rsid w:val="00400B5C"/>
    <w:rsid w:val="004368E0"/>
    <w:rsid w:val="00450ADF"/>
    <w:rsid w:val="004C13DD"/>
    <w:rsid w:val="004D3ABE"/>
    <w:rsid w:val="004E3441"/>
    <w:rsid w:val="00500579"/>
    <w:rsid w:val="00504721"/>
    <w:rsid w:val="00512176"/>
    <w:rsid w:val="005632DD"/>
    <w:rsid w:val="005A5366"/>
    <w:rsid w:val="005F73E2"/>
    <w:rsid w:val="006369EB"/>
    <w:rsid w:val="00637E73"/>
    <w:rsid w:val="00685214"/>
    <w:rsid w:val="006865E9"/>
    <w:rsid w:val="00686E9A"/>
    <w:rsid w:val="00691F3E"/>
    <w:rsid w:val="00694BFB"/>
    <w:rsid w:val="006A106B"/>
    <w:rsid w:val="006C523D"/>
    <w:rsid w:val="006D4036"/>
    <w:rsid w:val="006F0070"/>
    <w:rsid w:val="00703C02"/>
    <w:rsid w:val="007A3A26"/>
    <w:rsid w:val="007A5259"/>
    <w:rsid w:val="007A6321"/>
    <w:rsid w:val="007A7081"/>
    <w:rsid w:val="007F1CF5"/>
    <w:rsid w:val="00834EDE"/>
    <w:rsid w:val="00867384"/>
    <w:rsid w:val="008736AA"/>
    <w:rsid w:val="00887C6E"/>
    <w:rsid w:val="008D275D"/>
    <w:rsid w:val="00946186"/>
    <w:rsid w:val="00980327"/>
    <w:rsid w:val="00986478"/>
    <w:rsid w:val="009B5557"/>
    <w:rsid w:val="009F1067"/>
    <w:rsid w:val="00A31E01"/>
    <w:rsid w:val="00A527AD"/>
    <w:rsid w:val="00A718CF"/>
    <w:rsid w:val="00AA069B"/>
    <w:rsid w:val="00AB5321"/>
    <w:rsid w:val="00AE48A0"/>
    <w:rsid w:val="00AE61BE"/>
    <w:rsid w:val="00B16F25"/>
    <w:rsid w:val="00B24422"/>
    <w:rsid w:val="00B63413"/>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BF3"/>
    <w:rsid w:val="00CF1DCA"/>
    <w:rsid w:val="00D579FC"/>
    <w:rsid w:val="00D612E1"/>
    <w:rsid w:val="00D81C16"/>
    <w:rsid w:val="00DC6982"/>
    <w:rsid w:val="00DD14E3"/>
    <w:rsid w:val="00DD569B"/>
    <w:rsid w:val="00DE526B"/>
    <w:rsid w:val="00DF199D"/>
    <w:rsid w:val="00E01542"/>
    <w:rsid w:val="00E365F1"/>
    <w:rsid w:val="00E62F48"/>
    <w:rsid w:val="00E831B3"/>
    <w:rsid w:val="00E918C1"/>
    <w:rsid w:val="00E95FBC"/>
    <w:rsid w:val="00EC5E63"/>
    <w:rsid w:val="00EE5FE8"/>
    <w:rsid w:val="00EE70CB"/>
    <w:rsid w:val="00EF44CD"/>
    <w:rsid w:val="00EF6544"/>
    <w:rsid w:val="00F32B4E"/>
    <w:rsid w:val="00F41CA2"/>
    <w:rsid w:val="00F443C0"/>
    <w:rsid w:val="00F62EFB"/>
    <w:rsid w:val="00F939A4"/>
    <w:rsid w:val="00FA7B09"/>
    <w:rsid w:val="00FD5B51"/>
    <w:rsid w:val="00FD7EB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B7924"/>
  <w15:chartTrackingRefBased/>
  <w15:docId w15:val="{B77FE713-A5E3-4D08-974F-3387FB8B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87C6E"/>
    <w:rPr>
      <w:rFonts w:eastAsia="Calibri"/>
      <w:color w:val="000000"/>
    </w:rPr>
  </w:style>
  <w:style w:type="character" w:customStyle="1" w:styleId="SectionHeadingChar">
    <w:name w:val="Section Heading Char"/>
    <w:link w:val="SectionHeading"/>
    <w:rsid w:val="00887C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180337568495BAF02596117F4D05E"/>
        <w:category>
          <w:name w:val="General"/>
          <w:gallery w:val="placeholder"/>
        </w:category>
        <w:types>
          <w:type w:val="bbPlcHdr"/>
        </w:types>
        <w:behaviors>
          <w:behavior w:val="content"/>
        </w:behaviors>
        <w:guid w:val="{876679DA-9E14-4120-B651-92E28339439D}"/>
      </w:docPartPr>
      <w:docPartBody>
        <w:p w:rsidR="00831D12" w:rsidRDefault="00831D12">
          <w:pPr>
            <w:pStyle w:val="9E3180337568495BAF02596117F4D05E"/>
          </w:pPr>
          <w:r w:rsidRPr="00B844FE">
            <w:t>Prefix Text</w:t>
          </w:r>
        </w:p>
      </w:docPartBody>
    </w:docPart>
    <w:docPart>
      <w:docPartPr>
        <w:name w:val="D6D07951ABBF4880A4FBF21E9C8FDF0B"/>
        <w:category>
          <w:name w:val="General"/>
          <w:gallery w:val="placeholder"/>
        </w:category>
        <w:types>
          <w:type w:val="bbPlcHdr"/>
        </w:types>
        <w:behaviors>
          <w:behavior w:val="content"/>
        </w:behaviors>
        <w:guid w:val="{4850EBDF-3154-4B94-BF4F-7F13D42A0B7E}"/>
      </w:docPartPr>
      <w:docPartBody>
        <w:p w:rsidR="00831D12" w:rsidRDefault="00831D12">
          <w:pPr>
            <w:pStyle w:val="D6D07951ABBF4880A4FBF21E9C8FDF0B"/>
          </w:pPr>
          <w:r w:rsidRPr="00B844FE">
            <w:t>[Type here]</w:t>
          </w:r>
        </w:p>
      </w:docPartBody>
    </w:docPart>
    <w:docPart>
      <w:docPartPr>
        <w:name w:val="CF3516471CCC4B469BB3E2721222FED3"/>
        <w:category>
          <w:name w:val="General"/>
          <w:gallery w:val="placeholder"/>
        </w:category>
        <w:types>
          <w:type w:val="bbPlcHdr"/>
        </w:types>
        <w:behaviors>
          <w:behavior w:val="content"/>
        </w:behaviors>
        <w:guid w:val="{C07783FA-13B6-486B-80CD-CBDC944595FE}"/>
      </w:docPartPr>
      <w:docPartBody>
        <w:p w:rsidR="00831D12" w:rsidRDefault="00831D12">
          <w:pPr>
            <w:pStyle w:val="CF3516471CCC4B469BB3E2721222FED3"/>
          </w:pPr>
          <w:r w:rsidRPr="00B844FE">
            <w:t>Number</w:t>
          </w:r>
        </w:p>
      </w:docPartBody>
    </w:docPart>
    <w:docPart>
      <w:docPartPr>
        <w:name w:val="56411FDBD5414A499C0A6CBF467928AC"/>
        <w:category>
          <w:name w:val="General"/>
          <w:gallery w:val="placeholder"/>
        </w:category>
        <w:types>
          <w:type w:val="bbPlcHdr"/>
        </w:types>
        <w:behaviors>
          <w:behavior w:val="content"/>
        </w:behaviors>
        <w:guid w:val="{CACACBC9-EF73-4F36-B486-49F603A0AA6D}"/>
      </w:docPartPr>
      <w:docPartBody>
        <w:p w:rsidR="00831D12" w:rsidRDefault="00831D12">
          <w:pPr>
            <w:pStyle w:val="56411FDBD5414A499C0A6CBF467928AC"/>
          </w:pPr>
          <w:r w:rsidRPr="00B844FE">
            <w:t>Enter Sponsors Here</w:t>
          </w:r>
        </w:p>
      </w:docPartBody>
    </w:docPart>
    <w:docPart>
      <w:docPartPr>
        <w:name w:val="061A4495C6974FA18837AFF5BC8FAC7E"/>
        <w:category>
          <w:name w:val="General"/>
          <w:gallery w:val="placeholder"/>
        </w:category>
        <w:types>
          <w:type w:val="bbPlcHdr"/>
        </w:types>
        <w:behaviors>
          <w:behavior w:val="content"/>
        </w:behaviors>
        <w:guid w:val="{59B69FDE-EC80-4C42-A765-EF9A635E45A9}"/>
      </w:docPartPr>
      <w:docPartBody>
        <w:p w:rsidR="00831D12" w:rsidRDefault="00831D12">
          <w:pPr>
            <w:pStyle w:val="061A4495C6974FA18837AFF5BC8FAC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12"/>
    <w:rsid w:val="000221C9"/>
    <w:rsid w:val="00240207"/>
    <w:rsid w:val="003962F8"/>
    <w:rsid w:val="005632DD"/>
    <w:rsid w:val="00831D12"/>
    <w:rsid w:val="00DD569B"/>
    <w:rsid w:val="00EF6544"/>
    <w:rsid w:val="00F3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3180337568495BAF02596117F4D05E">
    <w:name w:val="9E3180337568495BAF02596117F4D05E"/>
  </w:style>
  <w:style w:type="paragraph" w:customStyle="1" w:styleId="D6D07951ABBF4880A4FBF21E9C8FDF0B">
    <w:name w:val="D6D07951ABBF4880A4FBF21E9C8FDF0B"/>
  </w:style>
  <w:style w:type="paragraph" w:customStyle="1" w:styleId="CF3516471CCC4B469BB3E2721222FED3">
    <w:name w:val="CF3516471CCC4B469BB3E2721222FED3"/>
  </w:style>
  <w:style w:type="paragraph" w:customStyle="1" w:styleId="56411FDBD5414A499C0A6CBF467928AC">
    <w:name w:val="56411FDBD5414A499C0A6CBF467928AC"/>
  </w:style>
  <w:style w:type="character" w:styleId="PlaceholderText">
    <w:name w:val="Placeholder Text"/>
    <w:basedOn w:val="DefaultParagraphFont"/>
    <w:uiPriority w:val="99"/>
    <w:semiHidden/>
    <w:rPr>
      <w:color w:val="808080"/>
    </w:rPr>
  </w:style>
  <w:style w:type="paragraph" w:customStyle="1" w:styleId="061A4495C6974FA18837AFF5BC8FAC7E">
    <w:name w:val="061A4495C6974FA18837AFF5BC8FA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2025-03-10T13:34:00Z</dcterms:created>
  <dcterms:modified xsi:type="dcterms:W3CDTF">2025-03-13T17:47:00Z</dcterms:modified>
</cp:coreProperties>
</file>